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>
        <w:trPr>
          <w:trHeight w:val="41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585BCB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Alumni Relations Department</w:t>
            </w:r>
          </w:p>
        </w:tc>
      </w:tr>
      <w:tr w:rsidR="00585BCB">
        <w:trPr>
          <w:trHeight w:val="41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11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585BCB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Non-Teaching</w:t>
            </w:r>
          </w:p>
        </w:tc>
      </w:tr>
      <w:tr w:rsidR="00585BCB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4ECC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Alumni Relations Department aims at fostering its base of 30,000 dynamic alumni, and keep them connected to the alma mater.</w:t>
            </w:r>
          </w:p>
          <w:p w:rsidR="00C84ECC" w:rsidRPr="00C84ECC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4ECC" w:rsidRDefault="00C84ECC" w:rsidP="00C84ECC">
            <w:r w:rsidRPr="00C84ECC">
              <w:rPr>
                <w:rFonts w:ascii="Times New Roman" w:hAnsi="Times New Roman" w:cs="Times New Roman"/>
              </w:rPr>
              <w:t xml:space="preserve">Aimed at strengthening ties, it stands as a paramount point that serves between the alumni community and the alma mater. Over the years, the ARO has significantly grown and vigorously expanded its alumni outreach </w:t>
            </w:r>
            <w:proofErr w:type="spellStart"/>
            <w:r w:rsidRPr="00C84ECC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C84ECC">
              <w:rPr>
                <w:rFonts w:ascii="Times New Roman" w:hAnsi="Times New Roman" w:cs="Times New Roman"/>
              </w:rPr>
              <w:t xml:space="preserve"> including the bouquet of celebrations of professional successes, mentoring undertakings, synergized events and engagement initiatives</w:t>
            </w:r>
            <w:r w:rsidRPr="004B6A23">
              <w:t>.</w:t>
            </w:r>
          </w:p>
          <w:p w:rsidR="00C84ECC" w:rsidRDefault="00C84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>
        <w:trPr>
          <w:trHeight w:val="40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585BCB" w:rsidRDefault="00C84E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Media Intern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="Times New Roman" w:eastAsia="Times New Roman" w:hAnsi="Times New Roman" w:cs="Times New Roman"/>
              </w:rPr>
              <w:t xml:space="preserve">- </w:t>
            </w:r>
            <w:r w:rsidRPr="001144D9">
              <w:rPr>
                <w:rFonts w:asciiTheme="minorHAnsi" w:eastAsia="Times New Roman" w:hAnsiTheme="minorHAnsi" w:cstheme="minorHAnsi"/>
              </w:rPr>
              <w:t>Assist in creating and scheduling social media content across various platforms</w:t>
            </w: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Strong written and verbal communication skills with a creative flair for content creation</w:t>
            </w: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Familiarity with social media platforms and their features, including scheduling tools and analytics</w:t>
            </w: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Conduct research on industry trends and best practices to optimize social media campaigns</w:t>
            </w:r>
          </w:p>
          <w:p w:rsidR="00585BCB" w:rsidRPr="001144D9" w:rsidRDefault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Stay up-to-date with social media trends, tools, and platforms to suggest new strategies and initiatives</w:t>
            </w:r>
          </w:p>
        </w:tc>
      </w:tr>
      <w:tr w:rsidR="00585BCB">
        <w:trPr>
          <w:trHeight w:val="425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Skills Required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Acumen for Marketing</w:t>
            </w: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Versatile with Social Media platforms</w:t>
            </w:r>
          </w:p>
          <w:p w:rsidR="001144D9" w:rsidRPr="001144D9" w:rsidRDefault="001144D9" w:rsidP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Flair for writing</w:t>
            </w:r>
          </w:p>
          <w:p w:rsidR="00585BCB" w:rsidRPr="001144D9" w:rsidRDefault="001144D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144D9">
              <w:rPr>
                <w:rFonts w:asciiTheme="minorHAnsi" w:eastAsia="Times New Roman" w:hAnsiTheme="minorHAnsi" w:cstheme="minorHAnsi"/>
              </w:rPr>
              <w:t>- Eye for creativity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03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:rsidR="00585BCB" w:rsidRDefault="001144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Faridabad</w:t>
            </w:r>
          </w:p>
        </w:tc>
      </w:tr>
      <w:tr w:rsidR="00585BCB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1144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per the protocols of MR Impact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>
        <w:trPr>
          <w:trHeight w:val="449"/>
          <w:jc w:val="center"/>
        </w:trPr>
        <w:tc>
          <w:tcPr>
            <w:tcW w:w="3621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BA" w:rsidRDefault="002B71BA">
      <w:pPr>
        <w:spacing w:after="0" w:line="240" w:lineRule="auto"/>
      </w:pPr>
      <w:r>
        <w:separator/>
      </w:r>
    </w:p>
  </w:endnote>
  <w:endnote w:type="continuationSeparator" w:id="0">
    <w:p w:rsidR="002B71BA" w:rsidRDefault="002B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BA" w:rsidRDefault="002B71BA">
      <w:pPr>
        <w:spacing w:after="0" w:line="240" w:lineRule="auto"/>
      </w:pPr>
      <w:r>
        <w:separator/>
      </w:r>
    </w:p>
  </w:footnote>
  <w:footnote w:type="continuationSeparator" w:id="0">
    <w:p w:rsidR="002B71BA" w:rsidRDefault="002B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0C1517"/>
    <w:rsid w:val="001144D9"/>
    <w:rsid w:val="00153907"/>
    <w:rsid w:val="002B71BA"/>
    <w:rsid w:val="002D3DEC"/>
    <w:rsid w:val="0044316F"/>
    <w:rsid w:val="00585BCB"/>
    <w:rsid w:val="00C84ECC"/>
    <w:rsid w:val="00E372A8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2024-06-03T09:40:00Z</dcterms:created>
  <dcterms:modified xsi:type="dcterms:W3CDTF">2024-06-03T09:40:00Z</dcterms:modified>
</cp:coreProperties>
</file>